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90" w:rsidRPr="00DD050E" w:rsidRDefault="005A2490" w:rsidP="005A2490">
      <w:pPr>
        <w:pStyle w:val="ManualHeading1"/>
        <w:suppressAutoHyphens/>
        <w:spacing w:before="340"/>
        <w:ind w:left="0" w:firstLine="0"/>
        <w:jc w:val="center"/>
        <w:rPr>
          <w:rFonts w:ascii="Times New Roman" w:hAnsi="Times New Roman" w:cs="Times New Roman"/>
          <w:b w:val="0"/>
          <w:bCs w:val="0"/>
          <w:sz w:val="24"/>
          <w:szCs w:val="24"/>
        </w:rPr>
      </w:pPr>
      <w:r w:rsidRPr="00DD050E">
        <w:rPr>
          <w:rFonts w:ascii="Times New Roman" w:hAnsi="Times New Roman" w:cs="Times New Roman"/>
          <w:b w:val="0"/>
          <w:sz w:val="24"/>
          <w:szCs w:val="24"/>
        </w:rPr>
        <w:t>B-hluti</w:t>
      </w:r>
    </w:p>
    <w:p w:rsidR="005A2490" w:rsidRPr="00DD050E" w:rsidRDefault="005A2490" w:rsidP="005A2490">
      <w:pPr>
        <w:pStyle w:val="ManualHeading2"/>
        <w:tabs>
          <w:tab w:val="left" w:pos="851"/>
        </w:tabs>
        <w:suppressAutoHyphens/>
        <w:spacing w:before="340"/>
        <w:ind w:left="0" w:firstLine="0"/>
        <w:jc w:val="center"/>
        <w:rPr>
          <w:rFonts w:ascii="Times New Roman" w:hAnsi="Times New Roman" w:cs="Times New Roman"/>
          <w:sz w:val="24"/>
          <w:szCs w:val="24"/>
        </w:rPr>
      </w:pPr>
      <w:r w:rsidRPr="00DD050E">
        <w:rPr>
          <w:rFonts w:ascii="Times New Roman" w:hAnsi="Times New Roman" w:cs="Times New Roman"/>
          <w:sz w:val="24"/>
          <w:szCs w:val="24"/>
        </w:rPr>
        <w:t>Staðlað upplýsingablað fyrir pakkaferðarsamninga í öðrum tilvikum en þeim sem falla undir A-hluta</w:t>
      </w:r>
    </w:p>
    <w:tbl>
      <w:tblPr>
        <w:tblW w:w="8956" w:type="dxa"/>
        <w:tblInd w:w="113" w:type="dxa"/>
        <w:tblLayout w:type="fixed"/>
        <w:tblCellMar>
          <w:left w:w="0" w:type="dxa"/>
          <w:right w:w="0" w:type="dxa"/>
        </w:tblCellMar>
        <w:tblLook w:val="0000" w:firstRow="0" w:lastRow="0" w:firstColumn="0" w:lastColumn="0" w:noHBand="0" w:noVBand="0"/>
      </w:tblPr>
      <w:tblGrid>
        <w:gridCol w:w="8956"/>
      </w:tblGrid>
      <w:tr w:rsidR="005A2490" w:rsidRPr="00DD050E" w:rsidTr="0031214F">
        <w:trPr>
          <w:trHeight w:val="60"/>
        </w:trPr>
        <w:tc>
          <w:tcPr>
            <w:tcW w:w="8956"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rsidR="005A2490" w:rsidRPr="00BC0E9B" w:rsidRDefault="005A2490" w:rsidP="0031214F">
            <w:pPr>
              <w:rPr>
                <w:rFonts w:ascii="Times New Roman" w:hAnsi="Times New Roman" w:cs="Times New Roman"/>
                <w:sz w:val="24"/>
                <w:szCs w:val="24"/>
              </w:rPr>
            </w:pPr>
            <w:r w:rsidRPr="00BC0E9B">
              <w:rPr>
                <w:rFonts w:ascii="Times New Roman" w:hAnsi="Times New Roman" w:cs="Times New Roman"/>
                <w:sz w:val="24"/>
                <w:szCs w:val="24"/>
              </w:rPr>
              <w:t>Sú samsetning ferðatengdrar þjónustu, sem um er að ræða, er pakkaferð í skilningi laga um pakkaferðir og samtengda ferðatilhögun nr. 95/2018.</w:t>
            </w:r>
          </w:p>
          <w:p w:rsidR="005A2490" w:rsidRPr="00BC0E9B" w:rsidRDefault="005A2490" w:rsidP="0031214F">
            <w:pPr>
              <w:rPr>
                <w:rFonts w:ascii="Times New Roman" w:hAnsi="Times New Roman" w:cs="Times New Roman"/>
                <w:sz w:val="24"/>
                <w:szCs w:val="24"/>
              </w:rPr>
            </w:pPr>
            <w:r w:rsidRPr="00BC0E9B">
              <w:rPr>
                <w:rFonts w:ascii="Times New Roman" w:hAnsi="Times New Roman" w:cs="Times New Roman"/>
                <w:sz w:val="24"/>
                <w:szCs w:val="24"/>
              </w:rPr>
              <w:t>Ferðamenn njóta því allra réttinda sem gilda um pakkaferðir. Fyrirtæki XY ber/bera fulla ábyrgð á réttri framkvæmd pakkaferðarinnar í heild.</w:t>
            </w:r>
          </w:p>
          <w:p w:rsidR="005A2490" w:rsidRPr="00DD050E" w:rsidRDefault="005A2490" w:rsidP="0031214F">
            <w:pPr>
              <w:rPr>
                <w:rFonts w:ascii="Times New Roman" w:hAnsi="Times New Roman" w:cs="Times New Roman"/>
                <w:sz w:val="24"/>
                <w:szCs w:val="24"/>
              </w:rPr>
            </w:pPr>
            <w:r w:rsidRPr="00BC0E9B">
              <w:rPr>
                <w:rFonts w:ascii="Times New Roman" w:hAnsi="Times New Roman" w:cs="Times New Roman"/>
                <w:sz w:val="24"/>
                <w:szCs w:val="24"/>
              </w:rPr>
              <w:t>Fyrirtæki XY hefur/hafa að auki komið á vernd, lögum samkvæmt, til að endurgreiða greiðslur sem inntar hafa verið af hendi og, ef flutningur er innifalinn í pakkaferðinni, tryggja heimflutning ferðamanna, komi til g</w:t>
            </w:r>
            <w:r>
              <w:rPr>
                <w:rFonts w:ascii="Times New Roman" w:hAnsi="Times New Roman" w:cs="Times New Roman"/>
                <w:sz w:val="24"/>
                <w:szCs w:val="24"/>
              </w:rPr>
              <w:t>jaldþrots eða rekstrarstöðvunar</w:t>
            </w:r>
            <w:r w:rsidRPr="00DD050E">
              <w:rPr>
                <w:rFonts w:ascii="Times New Roman" w:hAnsi="Times New Roman" w:cs="Times New Roman"/>
                <w:sz w:val="24"/>
                <w:szCs w:val="24"/>
              </w:rPr>
              <w:t>.</w:t>
            </w:r>
          </w:p>
        </w:tc>
      </w:tr>
    </w:tbl>
    <w:p w:rsidR="005A2490" w:rsidRPr="00DD050E" w:rsidRDefault="005A2490" w:rsidP="005A2490">
      <w:pPr>
        <w:spacing w:before="340"/>
        <w:rPr>
          <w:rFonts w:ascii="Times New Roman" w:hAnsi="Times New Roman" w:cs="Times New Roman"/>
          <w:sz w:val="24"/>
          <w:szCs w:val="24"/>
        </w:rPr>
      </w:pPr>
    </w:p>
    <w:p w:rsidR="005A2490" w:rsidRPr="00DD050E" w:rsidRDefault="005A2490" w:rsidP="005A2490">
      <w:pPr>
        <w:spacing w:before="454"/>
        <w:rPr>
          <w:rFonts w:ascii="Times New Roman" w:hAnsi="Times New Roman" w:cs="Times New Roman"/>
          <w:sz w:val="24"/>
          <w:szCs w:val="24"/>
        </w:rPr>
      </w:pPr>
      <w:r w:rsidRPr="00DD050E">
        <w:rPr>
          <w:rFonts w:ascii="Times New Roman" w:hAnsi="Times New Roman" w:cs="Times New Roman"/>
          <w:sz w:val="24"/>
          <w:szCs w:val="24"/>
        </w:rPr>
        <w:t xml:space="preserve">Mikilvægustu réttindi samkvæmt </w:t>
      </w:r>
      <w:r>
        <w:rPr>
          <w:rFonts w:ascii="Times New Roman" w:hAnsi="Times New Roman" w:cs="Times New Roman"/>
          <w:sz w:val="24"/>
          <w:szCs w:val="24"/>
        </w:rPr>
        <w:t>lögum um pakkaferðir og samtengda ferðatilhögun.</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Allar mikilvægar upplýsingar um pakkaferðina eru veittar ferðamönnum áður en gengið er frá pakkaferðarsamningi.</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Alltaf er a.m.k. einn seljandi ábyrgur fyrir réttri framkvæmd allrar ferðatengdrar þjónustu í samningnum.</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fá neyðarsímanúmer eða upplýsingar um tengilið þar sem hægt er að hafa samband við skipuleggjandann eða ferðaskrifstofuna.</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Ferðamönnum er heimilt að framselja pakkaferðina til annars aðila með hæfilegum fyrirvara og hugsanlega gegn viðbótarkostnaði.</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Aðeins má hækka verð pakkaferðarinnar ef sérstakur kostnaður hækkar (t.d. eldsneytisverð) og ef sérstaklega er kveðið á um það í samningnum og aldrei síðar en 20 dögum fyrir upphaf pakkaferðarinnar. Fari verðhækkunin yfir 8% af verði pakkaferðarinnar er ferðamanni heimilt að rifta samningnum Áskilji skipuleggjandi sér rétt til verðhækkunar á ferðamaður rétt á verðlækkun ef lækkun verður á viðeigandi kostnaði.</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geta rift samningi án þess að greiða riftunargjald og fá fulla endurgreiðslu á öllum greiðslum ef gerðar eru verulegar breytingar á mikilvægum þáttum pakkaferðarinnar, öðrum en verði hennar. Ef seljandi, sem er ábyrgur fyrir pakkaferðinni, aflýsir henni fyrir upphaf hennar eiga ferðamenn rétt á endurgreiðslu og skaðabótum, eftir því sem við á.</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geta rift samningi án þess að greiða riftunargjald fyrir upphaf pakkaferðarinnar í undantekningartilvikum, t.d. ef upp koma alvarleg öryggisvandamál á ákvörðunarstað, sem líklegt er að hafi áhrif á pakkaferðina.</w:t>
      </w:r>
    </w:p>
    <w:p w:rsidR="005A2490" w:rsidRPr="00DD050E"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lastRenderedPageBreak/>
        <w:t>—</w:t>
      </w:r>
      <w:r w:rsidRPr="00DD050E">
        <w:rPr>
          <w:rFonts w:ascii="Times New Roman" w:hAnsi="Times New Roman" w:cs="Times New Roman"/>
          <w:sz w:val="24"/>
          <w:szCs w:val="24"/>
        </w:rPr>
        <w:tab/>
        <w:t>Að auki geta ferðamenn hvenær sem er áður en pakkaferð hefst rift samningnum gegn greiðslu viðeigandi og réttlætanlegs riftunargjalds.</w:t>
      </w:r>
    </w:p>
    <w:p w:rsidR="005A2490" w:rsidRPr="00DD050E" w:rsidRDefault="005A2490" w:rsidP="005A2490">
      <w:pPr>
        <w:pStyle w:val="Tiret0"/>
        <w:suppressAutoHyphens/>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Ef ekki er hægt að framkvæma mikilvæga þætti pakkaferðarinnar, eins og umsamið var, eftir að hún er hafin þarf að bjóða ferðamanninum annars konar viðeigandi ráðstafanir, honum að kostnaðarlausu. Ferðamenn geta rift samningi án þess að greiða riftunargjald ef þjónustan er ekki veitt í samræmi við samninginn og það hefur veruleg áhrif á framkvæmd pakkaferðarinnar og skipuleggjandi ræður ekki bót á vandanum.</w:t>
      </w:r>
    </w:p>
    <w:p w:rsidR="005A2490" w:rsidRPr="00DD050E" w:rsidRDefault="005A2490" w:rsidP="005A2490">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Ferðamenn eiga einnig rétt á verðlækkun og/eða skaðabótum ef ferðatengd þjónusta er ekki framkvæmd eða framkvæmd hennar er ófullnægjandi.</w:t>
      </w:r>
    </w:p>
    <w:p w:rsidR="005A2490" w:rsidRPr="00DD050E" w:rsidRDefault="005A2490" w:rsidP="005A2490">
      <w:pPr>
        <w:pStyle w:val="Tiret0"/>
        <w:suppressAutoHyphens/>
        <w:spacing w:before="363"/>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Skipuleggjandinn verður að veita aðstoð ef ferðamaðurinn lendir í vanda.</w:t>
      </w:r>
    </w:p>
    <w:p w:rsidR="005A2490" w:rsidRDefault="005A2490" w:rsidP="005A2490">
      <w:pPr>
        <w:pStyle w:val="Tiret0"/>
        <w:suppressAutoHyphens/>
        <w:spacing w:before="340"/>
        <w:rPr>
          <w:rFonts w:ascii="Times New Roman" w:hAnsi="Times New Roman" w:cs="Times New Roman"/>
          <w:sz w:val="24"/>
          <w:szCs w:val="24"/>
        </w:rPr>
      </w:pPr>
      <w:r w:rsidRPr="00DD050E">
        <w:rPr>
          <w:rFonts w:ascii="Times New Roman" w:hAnsi="Times New Roman" w:cs="Times New Roman"/>
          <w:sz w:val="24"/>
          <w:szCs w:val="24"/>
        </w:rPr>
        <w:t>—</w:t>
      </w:r>
      <w:r w:rsidRPr="00DD050E">
        <w:rPr>
          <w:rFonts w:ascii="Times New Roman" w:hAnsi="Times New Roman" w:cs="Times New Roman"/>
          <w:sz w:val="24"/>
          <w:szCs w:val="24"/>
        </w:rPr>
        <w:tab/>
        <w:t>Verði skipuleggjandinn eða</w:t>
      </w:r>
      <w:r>
        <w:rPr>
          <w:rFonts w:ascii="Times New Roman" w:hAnsi="Times New Roman" w:cs="Times New Roman"/>
          <w:sz w:val="24"/>
          <w:szCs w:val="24"/>
        </w:rPr>
        <w:t>,</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eftir atvikum, </w:t>
      </w:r>
      <w:r w:rsidRPr="00DD050E">
        <w:rPr>
          <w:rFonts w:ascii="Times New Roman" w:hAnsi="Times New Roman" w:cs="Times New Roman"/>
          <w:sz w:val="24"/>
          <w:szCs w:val="24"/>
        </w:rPr>
        <w:t xml:space="preserve">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verða greiðslur endurgreiddar. Verði skipuleggjandinn eða, eftir atvikum, smásalinn </w:t>
      </w:r>
      <w:r>
        <w:rPr>
          <w:rFonts w:ascii="Times New Roman" w:hAnsi="Times New Roman" w:cs="Times New Roman"/>
          <w:sz w:val="24"/>
          <w:szCs w:val="24"/>
        </w:rPr>
        <w:t>gjaldþrota eða hættir rekstri</w:t>
      </w:r>
      <w:r w:rsidRPr="00DD050E">
        <w:rPr>
          <w:rFonts w:ascii="Times New Roman" w:hAnsi="Times New Roman" w:cs="Times New Roman"/>
          <w:sz w:val="24"/>
          <w:szCs w:val="24"/>
        </w:rPr>
        <w:t xml:space="preserve"> eftir að pakkaferðin er hafin og ef flutningur er innifalinn í pakkaferðinni er heimflutningur ferðamanna tryggður. XY hefur </w:t>
      </w:r>
      <w:r>
        <w:rPr>
          <w:rFonts w:ascii="Times New Roman" w:hAnsi="Times New Roman" w:cs="Times New Roman"/>
          <w:sz w:val="24"/>
          <w:szCs w:val="24"/>
        </w:rPr>
        <w:t>lagt fram tryggingu til</w:t>
      </w:r>
      <w:r w:rsidRPr="00DD050E">
        <w:rPr>
          <w:rFonts w:ascii="Times New Roman" w:hAnsi="Times New Roman" w:cs="Times New Roman"/>
          <w:sz w:val="24"/>
          <w:szCs w:val="24"/>
        </w:rPr>
        <w:t xml:space="preserve"> </w:t>
      </w:r>
      <w:r>
        <w:rPr>
          <w:rFonts w:ascii="Times New Roman" w:hAnsi="Times New Roman" w:cs="Times New Roman"/>
          <w:sz w:val="24"/>
          <w:szCs w:val="24"/>
        </w:rPr>
        <w:t xml:space="preserve">Ferðamálastofu komi til gjaldþrots eða rekstrarstöðvunar. Ef ekki er hægt að veita samningsbundna þjónustu á komi til gjaldþrots eða rekstrarstöðvunar XY geta ferðamenn haft samband við Ferðamálastofu: </w:t>
      </w:r>
    </w:p>
    <w:p w:rsidR="005A2490" w:rsidRDefault="005A2490" w:rsidP="005A2490">
      <w:pPr>
        <w:pStyle w:val="Tiret0"/>
        <w:suppressAutoHyphens/>
        <w:spacing w:before="340"/>
        <w:jc w:val="left"/>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Ferðamálastofa</w:t>
      </w:r>
      <w:r>
        <w:rPr>
          <w:rFonts w:ascii="Times New Roman" w:hAnsi="Times New Roman" w:cs="Times New Roman"/>
          <w:sz w:val="24"/>
          <w:szCs w:val="24"/>
        </w:rPr>
        <w:br/>
        <w:t>Hafnarstræti 91</w:t>
      </w:r>
      <w:r>
        <w:rPr>
          <w:rFonts w:ascii="Times New Roman" w:hAnsi="Times New Roman" w:cs="Times New Roman"/>
          <w:sz w:val="24"/>
          <w:szCs w:val="24"/>
        </w:rPr>
        <w:br/>
        <w:t>600 Akureyri</w:t>
      </w:r>
      <w:r>
        <w:rPr>
          <w:rFonts w:ascii="Times New Roman" w:hAnsi="Times New Roman" w:cs="Times New Roman"/>
          <w:sz w:val="24"/>
          <w:szCs w:val="24"/>
        </w:rPr>
        <w:br/>
        <w:t>Sími:  535 5500</w:t>
      </w:r>
      <w:r>
        <w:rPr>
          <w:rFonts w:ascii="Times New Roman" w:hAnsi="Times New Roman" w:cs="Times New Roman"/>
          <w:sz w:val="24"/>
          <w:szCs w:val="24"/>
        </w:rPr>
        <w:br/>
        <w:t xml:space="preserve">Netfang: </w:t>
      </w:r>
      <w:hyperlink r:id="rId4" w:history="1">
        <w:r w:rsidRPr="00A2215F">
          <w:rPr>
            <w:rStyle w:val="Hyperlink"/>
            <w:rFonts w:ascii="Times New Roman" w:hAnsi="Times New Roman" w:cs="Times New Roman"/>
            <w:sz w:val="24"/>
            <w:szCs w:val="24"/>
          </w:rPr>
          <w:t>upplysingar@ferdamalastofa.is</w:t>
        </w:r>
      </w:hyperlink>
      <w:r>
        <w:rPr>
          <w:rFonts w:ascii="Times New Roman" w:hAnsi="Times New Roman" w:cs="Times New Roman"/>
          <w:sz w:val="24"/>
          <w:szCs w:val="24"/>
        </w:rPr>
        <w:br/>
        <w:t xml:space="preserve">Heimasíða: </w:t>
      </w:r>
      <w:hyperlink r:id="rId5" w:history="1">
        <w:r w:rsidRPr="00A2215F">
          <w:rPr>
            <w:rStyle w:val="Hyperlink"/>
            <w:rFonts w:ascii="Times New Roman" w:hAnsi="Times New Roman" w:cs="Times New Roman"/>
            <w:sz w:val="24"/>
            <w:szCs w:val="24"/>
          </w:rPr>
          <w:t>www.ferdamalastofa.is</w:t>
        </w:r>
      </w:hyperlink>
    </w:p>
    <w:bookmarkEnd w:id="0"/>
    <w:p w:rsidR="005A2490" w:rsidRDefault="005A2490" w:rsidP="005A2490">
      <w:pPr>
        <w:pStyle w:val="Text1"/>
      </w:pPr>
    </w:p>
    <w:p w:rsidR="005A2490" w:rsidRDefault="005A2490" w:rsidP="005A2490">
      <w:pPr>
        <w:pStyle w:val="Text1"/>
      </w:pPr>
    </w:p>
    <w:p w:rsidR="005A2490" w:rsidRDefault="005A2490" w:rsidP="005A2490">
      <w:pPr>
        <w:pStyle w:val="Tiret0"/>
        <w:suppressAutoHyphens/>
        <w:spacing w:before="363"/>
        <w:rPr>
          <w:rFonts w:ascii="Times New Roman" w:hAnsi="Times New Roman" w:cs="Times New Roman"/>
          <w:b/>
          <w:bCs/>
          <w:sz w:val="24"/>
          <w:szCs w:val="24"/>
        </w:rPr>
      </w:pPr>
    </w:p>
    <w:p w:rsidR="005A2490" w:rsidRDefault="005A2490" w:rsidP="005A2490">
      <w:pPr>
        <w:pStyle w:val="Text1"/>
      </w:pPr>
      <w:hyperlink r:id="rId6" w:history="1">
        <w:r w:rsidRPr="008F58E8">
          <w:rPr>
            <w:rStyle w:val="Hyperlink"/>
            <w:b/>
            <w:sz w:val="24"/>
            <w:szCs w:val="24"/>
          </w:rPr>
          <w:t>Tengill á lög um pakkaferðir og samtengda ferðatilhögun</w:t>
        </w:r>
      </w:hyperlink>
    </w:p>
    <w:p w:rsidR="005A2490" w:rsidRDefault="005A2490" w:rsidP="005A2490">
      <w:pPr>
        <w:pStyle w:val="Text1"/>
      </w:pPr>
    </w:p>
    <w:p w:rsidR="009F067C" w:rsidRDefault="009F067C"/>
    <w:sectPr w:rsidR="009F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BoldMT">
    <w:altName w:val="Cambria"/>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E"/>
    <w:rsid w:val="0041715E"/>
    <w:rsid w:val="005A2490"/>
    <w:rsid w:val="009F06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622AF-7E05-4D94-AE9F-14BA861D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A2490"/>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is-IS" w:bidi="is-IS"/>
    </w:rPr>
  </w:style>
  <w:style w:type="paragraph" w:styleId="Heading1">
    <w:name w:val="heading 1"/>
    <w:basedOn w:val="Normal"/>
    <w:next w:val="Normal"/>
    <w:link w:val="Heading1Char"/>
    <w:uiPriority w:val="9"/>
    <w:qFormat/>
    <w:rsid w:val="005A2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A24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ing1">
    <w:name w:val="Manual Heading 1"/>
    <w:basedOn w:val="Heading1"/>
    <w:next w:val="Text1"/>
    <w:uiPriority w:val="99"/>
    <w:rsid w:val="005A2490"/>
    <w:pPr>
      <w:keepLines w:val="0"/>
      <w:suppressAutoHyphens w:val="0"/>
      <w:spacing w:before="113" w:line="200" w:lineRule="atLeast"/>
      <w:ind w:left="283" w:hanging="283"/>
      <w:outlineLvl w:val="9"/>
    </w:pPr>
    <w:rPr>
      <w:rFonts w:ascii="TimesNewRomanPS-BoldMT" w:eastAsia="Times New Roman" w:hAnsi="TimesNewRomanPS-BoldMT" w:cs="TimesNewRomanPS-BoldMT"/>
      <w:b/>
      <w:bCs/>
      <w:color w:val="000000"/>
      <w:sz w:val="16"/>
      <w:szCs w:val="16"/>
    </w:rPr>
  </w:style>
  <w:style w:type="paragraph" w:customStyle="1" w:styleId="ManualHeading2">
    <w:name w:val="Manual Heading 2"/>
    <w:basedOn w:val="Heading2"/>
    <w:next w:val="Normal"/>
    <w:uiPriority w:val="99"/>
    <w:rsid w:val="005A2490"/>
    <w:pPr>
      <w:keepLines w:val="0"/>
      <w:suppressAutoHyphens w:val="0"/>
      <w:spacing w:before="113" w:line="200" w:lineRule="atLeast"/>
      <w:ind w:left="567" w:hanging="283"/>
      <w:outlineLvl w:val="9"/>
    </w:pPr>
    <w:rPr>
      <w:rFonts w:ascii="TimesNewRomanPS-BoldMT" w:eastAsia="Times New Roman" w:hAnsi="TimesNewRomanPS-BoldMT" w:cs="TimesNewRomanPS-BoldMT"/>
      <w:b/>
      <w:bCs/>
      <w:color w:val="000000"/>
      <w:sz w:val="16"/>
      <w:szCs w:val="16"/>
    </w:rPr>
  </w:style>
  <w:style w:type="paragraph" w:customStyle="1" w:styleId="Tiret0">
    <w:name w:val="Tiret 0"/>
    <w:basedOn w:val="Normal"/>
    <w:uiPriority w:val="99"/>
    <w:rsid w:val="005A2490"/>
    <w:pPr>
      <w:tabs>
        <w:tab w:val="left" w:pos="283"/>
      </w:tabs>
      <w:suppressAutoHyphens w:val="0"/>
      <w:spacing w:line="200" w:lineRule="atLeast"/>
      <w:ind w:left="283" w:hanging="283"/>
    </w:pPr>
    <w:rPr>
      <w:sz w:val="16"/>
      <w:szCs w:val="16"/>
    </w:rPr>
  </w:style>
  <w:style w:type="paragraph" w:customStyle="1" w:styleId="Text1">
    <w:name w:val="Text 1"/>
    <w:basedOn w:val="Normal"/>
    <w:uiPriority w:val="99"/>
    <w:rsid w:val="005A2490"/>
    <w:pPr>
      <w:suppressAutoHyphens w:val="0"/>
      <w:spacing w:line="200" w:lineRule="atLeast"/>
      <w:ind w:left="283"/>
    </w:pPr>
    <w:rPr>
      <w:sz w:val="16"/>
      <w:szCs w:val="16"/>
    </w:rPr>
  </w:style>
  <w:style w:type="character" w:styleId="Hyperlink">
    <w:name w:val="Hyperlink"/>
    <w:basedOn w:val="DefaultParagraphFont"/>
    <w:uiPriority w:val="99"/>
    <w:unhideWhenUsed/>
    <w:rsid w:val="005A2490"/>
    <w:rPr>
      <w:color w:val="0563C1" w:themeColor="hyperlink"/>
      <w:u w:val="single"/>
    </w:rPr>
  </w:style>
  <w:style w:type="character" w:customStyle="1" w:styleId="Heading1Char">
    <w:name w:val="Heading 1 Char"/>
    <w:basedOn w:val="DefaultParagraphFont"/>
    <w:link w:val="Heading1"/>
    <w:uiPriority w:val="9"/>
    <w:rsid w:val="005A2490"/>
    <w:rPr>
      <w:rFonts w:asciiTheme="majorHAnsi" w:eastAsiaTheme="majorEastAsia" w:hAnsiTheme="majorHAnsi" w:cstheme="majorBidi"/>
      <w:color w:val="2E74B5" w:themeColor="accent1" w:themeShade="BF"/>
      <w:sz w:val="32"/>
      <w:szCs w:val="32"/>
      <w:lang w:eastAsia="is-IS" w:bidi="is-IS"/>
    </w:rPr>
  </w:style>
  <w:style w:type="character" w:customStyle="1" w:styleId="Heading2Char">
    <w:name w:val="Heading 2 Char"/>
    <w:basedOn w:val="DefaultParagraphFont"/>
    <w:link w:val="Heading2"/>
    <w:uiPriority w:val="9"/>
    <w:semiHidden/>
    <w:rsid w:val="005A2490"/>
    <w:rPr>
      <w:rFonts w:asciiTheme="majorHAnsi" w:eastAsiaTheme="majorEastAsia" w:hAnsiTheme="majorHAnsi" w:cstheme="majorBidi"/>
      <w:color w:val="2E74B5" w:themeColor="accent1" w:themeShade="BF"/>
      <w:sz w:val="26"/>
      <w:szCs w:val="26"/>
      <w:lang w:eastAsia="is-IS" w:bidi="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thingi.is/lagas/148c/2018095.html" TargetMode="External"/><Relationship Id="rId5" Type="http://schemas.openxmlformats.org/officeDocument/2006/relationships/hyperlink" Target="http://www.ferdamalastofa.is" TargetMode="External"/><Relationship Id="rId4" Type="http://schemas.openxmlformats.org/officeDocument/2006/relationships/hyperlink" Target="mailto:upplysingar@ferdamalastof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cp:lastModifiedBy>
  <cp:revision>2</cp:revision>
  <dcterms:created xsi:type="dcterms:W3CDTF">2018-11-23T14:01:00Z</dcterms:created>
  <dcterms:modified xsi:type="dcterms:W3CDTF">2018-11-23T14:01:00Z</dcterms:modified>
</cp:coreProperties>
</file>