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FA" w:rsidRPr="00DD050E" w:rsidRDefault="00BB22FA" w:rsidP="00BB22FA">
      <w:pPr>
        <w:pStyle w:val="ManualHeading1"/>
        <w:suppressAutoHyphens/>
        <w:spacing w:before="363"/>
        <w:ind w:left="0" w:firstLine="0"/>
        <w:jc w:val="center"/>
        <w:rPr>
          <w:rFonts w:ascii="Times New Roman" w:hAnsi="Times New Roman" w:cs="Times New Roman"/>
          <w:b w:val="0"/>
          <w:bCs w:val="0"/>
          <w:sz w:val="24"/>
          <w:szCs w:val="24"/>
        </w:rPr>
      </w:pPr>
      <w:r w:rsidRPr="00DD050E">
        <w:rPr>
          <w:rFonts w:ascii="Times New Roman" w:hAnsi="Times New Roman" w:cs="Times New Roman"/>
          <w:b w:val="0"/>
          <w:sz w:val="24"/>
          <w:szCs w:val="24"/>
        </w:rPr>
        <w:t>C-hluti</w:t>
      </w:r>
    </w:p>
    <w:p w:rsidR="00BB22FA" w:rsidRPr="00DD050E" w:rsidRDefault="00BB22FA" w:rsidP="00BB22FA">
      <w:pPr>
        <w:pStyle w:val="ManualHeading2"/>
        <w:tabs>
          <w:tab w:val="left" w:pos="851"/>
        </w:tabs>
        <w:suppressAutoHyphens/>
        <w:spacing w:before="363"/>
        <w:ind w:left="0" w:firstLine="0"/>
        <w:jc w:val="center"/>
        <w:rPr>
          <w:rFonts w:ascii="Times New Roman" w:hAnsi="Times New Roman" w:cs="Times New Roman"/>
          <w:sz w:val="24"/>
          <w:szCs w:val="24"/>
        </w:rPr>
      </w:pPr>
      <w:r w:rsidRPr="00DD050E">
        <w:rPr>
          <w:rFonts w:ascii="Times New Roman" w:hAnsi="Times New Roman" w:cs="Times New Roman"/>
          <w:sz w:val="24"/>
          <w:szCs w:val="24"/>
        </w:rPr>
        <w:t>Staðlað upplýsingablað þegar skipuleggjandi sendir gögn til annars seljanda í samræmi við v. lið b-liðar 2. liðar 3. gr.</w:t>
      </w:r>
    </w:p>
    <w:tbl>
      <w:tblPr>
        <w:tblW w:w="8956" w:type="dxa"/>
        <w:tblInd w:w="113" w:type="dxa"/>
        <w:tblLayout w:type="fixed"/>
        <w:tblCellMar>
          <w:left w:w="0" w:type="dxa"/>
          <w:right w:w="0" w:type="dxa"/>
        </w:tblCellMar>
        <w:tblLook w:val="0000" w:firstRow="0" w:lastRow="0" w:firstColumn="0" w:lastColumn="0" w:noHBand="0" w:noVBand="0"/>
      </w:tblPr>
      <w:tblGrid>
        <w:gridCol w:w="8956"/>
      </w:tblGrid>
      <w:tr w:rsidR="00BB22FA" w:rsidRPr="00DD050E" w:rsidTr="0031214F">
        <w:trPr>
          <w:trHeight w:val="60"/>
        </w:trPr>
        <w:tc>
          <w:tcPr>
            <w:tcW w:w="8956"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rsidR="00BB22FA" w:rsidRPr="00DD050E" w:rsidRDefault="00BB22FA" w:rsidP="0031214F">
            <w:pPr>
              <w:rPr>
                <w:rFonts w:ascii="Times New Roman" w:hAnsi="Times New Roman" w:cs="Times New Roman"/>
                <w:sz w:val="24"/>
                <w:szCs w:val="24"/>
              </w:rPr>
            </w:pPr>
            <w:r w:rsidRPr="00DD050E">
              <w:rPr>
                <w:rFonts w:ascii="Times New Roman" w:hAnsi="Times New Roman" w:cs="Times New Roman"/>
                <w:sz w:val="24"/>
                <w:szCs w:val="24"/>
              </w:rPr>
              <w:t xml:space="preserve">Ef gengið er frá samningi við fyrirtæki AB í síðasta lagi 24 klukkustundum eftir að staðfesting bókunarinnar hefur borist frá fyrirtæki XY telst ferðatengd þjónusta sem XY og AB veita vera pakkaferð í </w:t>
            </w:r>
            <w:r>
              <w:rPr>
                <w:rFonts w:ascii="Times New Roman" w:hAnsi="Times New Roman" w:cs="Times New Roman"/>
                <w:sz w:val="24"/>
                <w:szCs w:val="24"/>
              </w:rPr>
              <w:t>laga um pakkaferðir og samtengda ferðatilhögun nr. 95/2018</w:t>
            </w:r>
            <w:r w:rsidRPr="00DD050E">
              <w:rPr>
                <w:rFonts w:ascii="Times New Roman" w:hAnsi="Times New Roman" w:cs="Times New Roman"/>
                <w:sz w:val="24"/>
                <w:szCs w:val="24"/>
              </w:rPr>
              <w:t>.</w:t>
            </w:r>
          </w:p>
          <w:p w:rsidR="00BB22FA" w:rsidRPr="00D6596B" w:rsidRDefault="00BB22FA" w:rsidP="0031214F">
            <w:pPr>
              <w:rPr>
                <w:rFonts w:ascii="Times New Roman" w:hAnsi="Times New Roman" w:cs="Times New Roman"/>
                <w:sz w:val="24"/>
                <w:szCs w:val="24"/>
              </w:rPr>
            </w:pPr>
            <w:r w:rsidRPr="00D6596B">
              <w:rPr>
                <w:rFonts w:ascii="Times New Roman" w:hAnsi="Times New Roman" w:cs="Times New Roman"/>
                <w:sz w:val="24"/>
                <w:szCs w:val="24"/>
              </w:rPr>
              <w:t>Ferðamenn njóta því allra réttinda sem gilda um pakkaferðir. Fyrirtæki XY ber/bera fulla ábyrgð á réttri framkvæmd pakkaferðarinnar í heild.</w:t>
            </w:r>
          </w:p>
          <w:p w:rsidR="00BB22FA" w:rsidRPr="00D6596B" w:rsidRDefault="00BB22FA" w:rsidP="0031214F">
            <w:pPr>
              <w:rPr>
                <w:rFonts w:ascii="Times New Roman" w:hAnsi="Times New Roman" w:cs="Times New Roman"/>
                <w:sz w:val="24"/>
                <w:szCs w:val="24"/>
              </w:rPr>
            </w:pPr>
            <w:r w:rsidRPr="00D6596B">
              <w:rPr>
                <w:rFonts w:ascii="Times New Roman" w:hAnsi="Times New Roman" w:cs="Times New Roman"/>
                <w:sz w:val="24"/>
                <w:szCs w:val="24"/>
              </w:rPr>
              <w:t>Fyrirtæki XY hefur/hafa að auki komið á vernd, lögum samkvæmt, til að endurgreiða greiðslur sem inntar hafa verið af hendi og, ef flutningur er innifalinn í pakkaferðinni, tryggja heimflutning ferðamanna, komi til gjaldþrots eða rekstrarstöðvunar.</w:t>
            </w:r>
          </w:p>
          <w:p w:rsidR="00BB22FA" w:rsidRPr="00DD050E" w:rsidRDefault="00BB22FA" w:rsidP="0031214F">
            <w:pPr>
              <w:rPr>
                <w:rFonts w:ascii="Times New Roman" w:hAnsi="Times New Roman" w:cs="Times New Roman"/>
                <w:sz w:val="24"/>
                <w:szCs w:val="24"/>
              </w:rPr>
            </w:pPr>
            <w:r w:rsidRPr="00D6596B">
              <w:rPr>
                <w:rFonts w:ascii="Times New Roman" w:hAnsi="Times New Roman" w:cs="Times New Roman"/>
                <w:sz w:val="24"/>
                <w:szCs w:val="24"/>
              </w:rPr>
              <w:t>Nánari upplýsingar um mikilvægustu réttindi samkvæmt lögum um pakkaferðir og samtengda ferðatilhögun (tengill á réttindin).</w:t>
            </w:r>
          </w:p>
        </w:tc>
      </w:tr>
    </w:tbl>
    <w:p w:rsidR="00BB22FA" w:rsidRDefault="00BB22FA" w:rsidP="00BB22FA">
      <w:pPr>
        <w:spacing w:before="363"/>
        <w:rPr>
          <w:rFonts w:ascii="Times New Roman" w:hAnsi="Times New Roman" w:cs="Times New Roman"/>
          <w:sz w:val="24"/>
          <w:szCs w:val="24"/>
        </w:rPr>
      </w:pPr>
    </w:p>
    <w:p w:rsidR="00BB22FA" w:rsidRPr="00DD050E" w:rsidRDefault="00BB22FA" w:rsidP="00BB22FA">
      <w:pPr>
        <w:spacing w:before="363"/>
        <w:rPr>
          <w:rFonts w:ascii="Times New Roman" w:hAnsi="Times New Roman" w:cs="Times New Roman"/>
          <w:sz w:val="24"/>
          <w:szCs w:val="24"/>
        </w:rPr>
      </w:pPr>
      <w:r w:rsidRPr="00DD050E">
        <w:rPr>
          <w:rFonts w:ascii="Times New Roman" w:hAnsi="Times New Roman" w:cs="Times New Roman"/>
          <w:sz w:val="24"/>
          <w:szCs w:val="24"/>
        </w:rPr>
        <w:t>Með því að smella á tengilinn fær ferðamaðurinn eftirfarandi upplýsingar:</w:t>
      </w:r>
    </w:p>
    <w:p w:rsidR="00BB22FA" w:rsidRPr="00DD050E" w:rsidRDefault="00BB22FA" w:rsidP="00BB22FA">
      <w:pPr>
        <w:spacing w:before="454"/>
        <w:rPr>
          <w:rFonts w:ascii="Times New Roman" w:hAnsi="Times New Roman" w:cs="Times New Roman"/>
          <w:sz w:val="24"/>
          <w:szCs w:val="24"/>
        </w:rPr>
      </w:pPr>
      <w:r w:rsidRPr="00DD050E">
        <w:rPr>
          <w:rFonts w:ascii="Times New Roman" w:hAnsi="Times New Roman" w:cs="Times New Roman"/>
          <w:sz w:val="24"/>
          <w:szCs w:val="24"/>
        </w:rPr>
        <w:t xml:space="preserve">Mikilvægustu réttindi samkvæmt </w:t>
      </w:r>
      <w:r>
        <w:rPr>
          <w:rFonts w:ascii="Times New Roman" w:hAnsi="Times New Roman" w:cs="Times New Roman"/>
          <w:sz w:val="24"/>
          <w:szCs w:val="24"/>
        </w:rPr>
        <w:t>lögum um pakkaferðir og samtengda ferðatilhögun.</w:t>
      </w:r>
    </w:p>
    <w:p w:rsidR="00BB22FA" w:rsidRPr="00DD050E" w:rsidRDefault="00BB22FA" w:rsidP="00BB22FA">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Allar mikilvægar upplýsingar um ferðatengdu þjónustuna eru veittar ferðamönnum áður en gengið er frá pakkaferðarsamningi.</w:t>
      </w:r>
    </w:p>
    <w:p w:rsidR="00BB22FA" w:rsidRPr="00DD050E" w:rsidRDefault="00BB22FA" w:rsidP="00BB22FA">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Alltaf er a.m.k. einn seljandi ábyrgur fyrir réttri framkvæmd allrar ferðatengdrar þjónustu í samningnum.</w:t>
      </w:r>
    </w:p>
    <w:p w:rsidR="00BB22FA" w:rsidRPr="00DD050E" w:rsidRDefault="00BB22FA" w:rsidP="00BB22FA">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fá neyðarsímanúmer eða upplýsingar um tengilið þar sem hægt er að hafa samband við skipuleggjandann eða ferðaskrifstofuna.</w:t>
      </w:r>
    </w:p>
    <w:p w:rsidR="00BB22FA" w:rsidRPr="00DD050E" w:rsidRDefault="00BB22FA" w:rsidP="00BB22FA">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Ferðamönnum er heimilt að framselja pakkaferðina til annars aðila með hæfilegum fyrirvara og hugsanlega gegn viðbótarkostnaði.</w:t>
      </w:r>
    </w:p>
    <w:p w:rsidR="00BB22FA" w:rsidRPr="00DD050E" w:rsidRDefault="00BB22FA" w:rsidP="00BB22FA">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Aðeins má hækka verð pakkaferðarinnar ef sérstakur kostnaður hækkar (t.d. eldsneytisverð) og ef sérstaklega er kveðið á um það í samningnum og aldrei síðar en 20 dögum fyrir upphaf pakkaferðarinnar. Fari verðhækkunin yfir 8% af verði pakkaferðarinnar er ferðamanni heimilt að rifta samningnum. Áskilji skipuleggjandi sér rétt til verðhækkunar á ferðamaður rétt á verðlækkun ef lækkun verður á viðeigandi kostnaði.</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geta rift samningi án þess að greiða riftunargjald og fá fulla endurgreiðslu á öllum greiðslum ef gerðar eru verulegar breytingar á mikilvægum þáttum pakkaferðarinnar, öðrum en verði hennar. Ef seljandi, sem er ábyrgur fyrir pakkaferðinni, aflýsir henni fyrir upphaf hennar eiga ferðamenn rétt á endurgreiðslu og skaðabótum, eftir því sem við á.</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lastRenderedPageBreak/>
        <w:t>—</w:t>
      </w:r>
      <w:r w:rsidRPr="00DD050E">
        <w:rPr>
          <w:rFonts w:ascii="Times New Roman" w:hAnsi="Times New Roman" w:cs="Times New Roman"/>
          <w:sz w:val="24"/>
          <w:szCs w:val="24"/>
        </w:rPr>
        <w:tab/>
        <w:t>Ferðamenn geta rift samningi án þess að greiða riftunargjald fyrir upphaf pakkaferðarinnar í undantekningartilvikum, t.d. ef upp koma alvarleg öryggisvandamál á ákvörðunarstað, sem líklegt er að hafi áhrif á pakkaferðina.</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Að auki geta ferðamenn hvenær sem er áður en pakkaferð hefst rift samningnum gegn greiðslu viðeigandi og réttlætanlegs riftunargjalds.</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Ef ekki er hægt að framkvæma mikilvæga þætti pakkaferðarinnar, eins og umsamið var, eftir að hún er hafin þarf að bjóða ferðamanninum annars konar viðeigandi ráðstafanir, honum að kostnaðarlausu. Ferðamenn geta rift samningi án þess að greiða riftunargjald ef þjónustan er ekki veitt í samræmi við samninginn og það hefur veruleg áhrif á framkvæmd pakkaferðarinnar og skipuleggjandi ræður ekki bót á vandanum.</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eiga einnig rétt á verðlækkun og/eða skaðabótum ef ferðatengd þjónusta er ekki framkvæmd eða framkvæmd hennar er ófullnægjandi.</w:t>
      </w:r>
    </w:p>
    <w:p w:rsidR="00BB22FA" w:rsidRPr="00DD050E" w:rsidRDefault="00BB22FA" w:rsidP="00BB22FA">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Skipuleggjandinn verður að veita aðstoð ef ferðamaðurinn lendir í vanda.</w:t>
      </w:r>
    </w:p>
    <w:p w:rsidR="00BB22FA" w:rsidRDefault="00BB22FA" w:rsidP="00BB22FA">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Verði skipuleggjandinn eða</w:t>
      </w:r>
      <w:r>
        <w:rPr>
          <w:rFonts w:ascii="Times New Roman" w:hAnsi="Times New Roman" w:cs="Times New Roman"/>
          <w:sz w:val="24"/>
          <w:szCs w:val="24"/>
        </w:rPr>
        <w:t>,</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eftir atvikum, </w:t>
      </w:r>
      <w:r w:rsidRPr="00DD050E">
        <w:rPr>
          <w:rFonts w:ascii="Times New Roman" w:hAnsi="Times New Roman" w:cs="Times New Roman"/>
          <w:sz w:val="24"/>
          <w:szCs w:val="24"/>
        </w:rPr>
        <w:t xml:space="preserve">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verða greiðslur endurgreiddar. Verði skipuleggjandinn eða, eftir atvikum, 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eftir að pakkaferðin er hafin og ef flutningur er innifalinn í pakkaferðinni er heimflutningur ferðamanna tryggður. XY hefur </w:t>
      </w:r>
      <w:r>
        <w:rPr>
          <w:rFonts w:ascii="Times New Roman" w:hAnsi="Times New Roman" w:cs="Times New Roman"/>
          <w:sz w:val="24"/>
          <w:szCs w:val="24"/>
        </w:rPr>
        <w:t>lagt fram tryggingu til</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Ferðamálastofu komi til gjaldþrots eða rekstrarstöðvunar. Ef ekki er hægt að veita samningsbundna þjónustu á komi til gjaldþrots eða rekstrarstöðvunar XY geta ferðamenn haft samband við Ferðamálastofu: </w:t>
      </w:r>
    </w:p>
    <w:p w:rsidR="00BB22FA" w:rsidRDefault="00BB22FA" w:rsidP="00BB22FA">
      <w:pPr>
        <w:pStyle w:val="Tiret0"/>
        <w:suppressAutoHyphens/>
        <w:spacing w:before="340"/>
        <w:jc w:val="left"/>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Ferðamálastofa</w:t>
      </w:r>
      <w:r>
        <w:rPr>
          <w:rFonts w:ascii="Times New Roman" w:hAnsi="Times New Roman" w:cs="Times New Roman"/>
          <w:sz w:val="24"/>
          <w:szCs w:val="24"/>
        </w:rPr>
        <w:br/>
        <w:t>Hafnarstræti 91</w:t>
      </w:r>
      <w:r>
        <w:rPr>
          <w:rFonts w:ascii="Times New Roman" w:hAnsi="Times New Roman" w:cs="Times New Roman"/>
          <w:sz w:val="24"/>
          <w:szCs w:val="24"/>
        </w:rPr>
        <w:br/>
        <w:t>600 Akureyri</w:t>
      </w:r>
      <w:r>
        <w:rPr>
          <w:rFonts w:ascii="Times New Roman" w:hAnsi="Times New Roman" w:cs="Times New Roman"/>
          <w:sz w:val="24"/>
          <w:szCs w:val="24"/>
        </w:rPr>
        <w:br/>
        <w:t>Sími:  535 5500</w:t>
      </w:r>
      <w:r>
        <w:rPr>
          <w:rFonts w:ascii="Times New Roman" w:hAnsi="Times New Roman" w:cs="Times New Roman"/>
          <w:sz w:val="24"/>
          <w:szCs w:val="24"/>
        </w:rPr>
        <w:br/>
        <w:t xml:space="preserve">Netfang: </w:t>
      </w:r>
      <w:hyperlink r:id="rId4" w:history="1">
        <w:r w:rsidRPr="00A2215F">
          <w:rPr>
            <w:rStyle w:val="Hyperlink"/>
            <w:rFonts w:ascii="Times New Roman" w:hAnsi="Times New Roman" w:cs="Times New Roman"/>
            <w:sz w:val="24"/>
            <w:szCs w:val="24"/>
          </w:rPr>
          <w:t>upplysingar@ferdamalastofa.is</w:t>
        </w:r>
      </w:hyperlink>
      <w:r>
        <w:rPr>
          <w:rFonts w:ascii="Times New Roman" w:hAnsi="Times New Roman" w:cs="Times New Roman"/>
          <w:sz w:val="24"/>
          <w:szCs w:val="24"/>
        </w:rPr>
        <w:br/>
        <w:t xml:space="preserve">Heimasíða: </w:t>
      </w:r>
      <w:hyperlink r:id="rId5" w:history="1">
        <w:r w:rsidRPr="00A2215F">
          <w:rPr>
            <w:rStyle w:val="Hyperlink"/>
            <w:rFonts w:ascii="Times New Roman" w:hAnsi="Times New Roman" w:cs="Times New Roman"/>
            <w:sz w:val="24"/>
            <w:szCs w:val="24"/>
          </w:rPr>
          <w:t>www.ferdamalastofa.is</w:t>
        </w:r>
      </w:hyperlink>
    </w:p>
    <w:bookmarkEnd w:id="0"/>
    <w:p w:rsidR="00BB22FA" w:rsidRDefault="00BB22FA" w:rsidP="00BB22FA">
      <w:pPr>
        <w:pStyle w:val="Text1"/>
      </w:pPr>
    </w:p>
    <w:p w:rsidR="00BB22FA" w:rsidRDefault="00BB22FA" w:rsidP="00BB22FA">
      <w:pPr>
        <w:pStyle w:val="Text1"/>
      </w:pPr>
    </w:p>
    <w:p w:rsidR="00BB22FA" w:rsidRPr="00BC0E9B" w:rsidRDefault="00BB22FA" w:rsidP="00BB22FA">
      <w:pPr>
        <w:pStyle w:val="Text1"/>
        <w:rPr>
          <w:b/>
          <w:color w:val="FF0000"/>
          <w:sz w:val="24"/>
          <w:szCs w:val="24"/>
        </w:rPr>
      </w:pPr>
      <w:hyperlink r:id="rId6" w:history="1">
        <w:r w:rsidRPr="008F58E8">
          <w:rPr>
            <w:rStyle w:val="Hyperlink"/>
            <w:b/>
            <w:sz w:val="24"/>
            <w:szCs w:val="24"/>
          </w:rPr>
          <w:t>Tengill á lög um pakkaferðir og samtengda ferðatilhögun</w:t>
        </w:r>
      </w:hyperlink>
      <w:r w:rsidRPr="00BC0E9B">
        <w:rPr>
          <w:b/>
          <w:color w:val="FF0000"/>
          <w:sz w:val="24"/>
          <w:szCs w:val="24"/>
        </w:rPr>
        <w:t xml:space="preserve"> </w:t>
      </w:r>
    </w:p>
    <w:p w:rsidR="00BB22FA" w:rsidRPr="00DD050E" w:rsidRDefault="00BB22FA" w:rsidP="00BB22FA">
      <w:pPr>
        <w:pStyle w:val="Tiret0"/>
        <w:suppressAutoHyphens/>
        <w:rPr>
          <w:rFonts w:ascii="Times New Roman" w:hAnsi="Times New Roman" w:cs="Times New Roman"/>
          <w:sz w:val="24"/>
          <w:szCs w:val="24"/>
        </w:rPr>
      </w:pPr>
    </w:p>
    <w:p w:rsidR="00BB22FA" w:rsidRDefault="00BB22FA" w:rsidP="00BB22FA">
      <w:pPr>
        <w:jc w:val="center"/>
        <w:rPr>
          <w:rFonts w:ascii="Times New Roman" w:hAnsi="Times New Roman" w:cs="Times New Roman"/>
          <w:sz w:val="24"/>
          <w:szCs w:val="24"/>
        </w:rPr>
      </w:pPr>
      <w:r w:rsidRPr="00DD050E">
        <w:rPr>
          <w:rFonts w:ascii="Times New Roman" w:hAnsi="Times New Roman" w:cs="Times New Roman"/>
          <w:sz w:val="24"/>
          <w:szCs w:val="24"/>
        </w:rPr>
        <w:t>________</w:t>
      </w:r>
    </w:p>
    <w:p w:rsidR="00BB22FA" w:rsidRDefault="00BB22FA" w:rsidP="00BB22FA">
      <w:pPr>
        <w:jc w:val="center"/>
        <w:rPr>
          <w:rFonts w:ascii="Times New Roman" w:hAnsi="Times New Roman" w:cs="Times New Roman"/>
          <w:sz w:val="24"/>
          <w:szCs w:val="24"/>
        </w:rPr>
      </w:pPr>
    </w:p>
    <w:p w:rsidR="009F067C" w:rsidRDefault="009F067C"/>
    <w:sectPr w:rsidR="009F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BoldMT">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FA"/>
    <w:rsid w:val="009F067C"/>
    <w:rsid w:val="00BB22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5617-DA8B-41EF-9F5C-0048C9DF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B22FA"/>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is-IS" w:bidi="is-IS"/>
    </w:rPr>
  </w:style>
  <w:style w:type="paragraph" w:styleId="Heading1">
    <w:name w:val="heading 1"/>
    <w:basedOn w:val="Normal"/>
    <w:next w:val="Normal"/>
    <w:link w:val="Heading1Char"/>
    <w:uiPriority w:val="9"/>
    <w:qFormat/>
    <w:rsid w:val="00BB22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22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Heading1"/>
    <w:next w:val="Text1"/>
    <w:uiPriority w:val="99"/>
    <w:rsid w:val="00BB22FA"/>
    <w:pPr>
      <w:keepLines w:val="0"/>
      <w:suppressAutoHyphens w:val="0"/>
      <w:spacing w:before="113" w:line="200" w:lineRule="atLeast"/>
      <w:ind w:left="283" w:hanging="283"/>
      <w:outlineLvl w:val="9"/>
    </w:pPr>
    <w:rPr>
      <w:rFonts w:ascii="TimesNewRomanPS-BoldMT" w:eastAsia="Times New Roman" w:hAnsi="TimesNewRomanPS-BoldMT" w:cs="TimesNewRomanPS-BoldMT"/>
      <w:b/>
      <w:bCs/>
      <w:color w:val="000000"/>
      <w:sz w:val="16"/>
      <w:szCs w:val="16"/>
    </w:rPr>
  </w:style>
  <w:style w:type="paragraph" w:customStyle="1" w:styleId="ManualHeading2">
    <w:name w:val="Manual Heading 2"/>
    <w:basedOn w:val="Heading2"/>
    <w:next w:val="Normal"/>
    <w:uiPriority w:val="99"/>
    <w:rsid w:val="00BB22FA"/>
    <w:pPr>
      <w:keepLines w:val="0"/>
      <w:suppressAutoHyphens w:val="0"/>
      <w:spacing w:before="113" w:line="200" w:lineRule="atLeast"/>
      <w:ind w:left="567" w:hanging="283"/>
      <w:outlineLvl w:val="9"/>
    </w:pPr>
    <w:rPr>
      <w:rFonts w:ascii="TimesNewRomanPS-BoldMT" w:eastAsia="Times New Roman" w:hAnsi="TimesNewRomanPS-BoldMT" w:cs="TimesNewRomanPS-BoldMT"/>
      <w:b/>
      <w:bCs/>
      <w:color w:val="000000"/>
      <w:sz w:val="16"/>
      <w:szCs w:val="16"/>
    </w:rPr>
  </w:style>
  <w:style w:type="paragraph" w:customStyle="1" w:styleId="Tiret0">
    <w:name w:val="Tiret 0"/>
    <w:basedOn w:val="Normal"/>
    <w:uiPriority w:val="99"/>
    <w:rsid w:val="00BB22FA"/>
    <w:pPr>
      <w:tabs>
        <w:tab w:val="left" w:pos="283"/>
      </w:tabs>
      <w:suppressAutoHyphens w:val="0"/>
      <w:spacing w:line="200" w:lineRule="atLeast"/>
      <w:ind w:left="283" w:hanging="283"/>
    </w:pPr>
    <w:rPr>
      <w:sz w:val="16"/>
      <w:szCs w:val="16"/>
    </w:rPr>
  </w:style>
  <w:style w:type="paragraph" w:customStyle="1" w:styleId="Text1">
    <w:name w:val="Text 1"/>
    <w:basedOn w:val="Normal"/>
    <w:uiPriority w:val="99"/>
    <w:rsid w:val="00BB22FA"/>
    <w:pPr>
      <w:suppressAutoHyphens w:val="0"/>
      <w:spacing w:line="200" w:lineRule="atLeast"/>
      <w:ind w:left="283"/>
    </w:pPr>
    <w:rPr>
      <w:sz w:val="16"/>
      <w:szCs w:val="16"/>
    </w:rPr>
  </w:style>
  <w:style w:type="character" w:styleId="Hyperlink">
    <w:name w:val="Hyperlink"/>
    <w:basedOn w:val="DefaultParagraphFont"/>
    <w:uiPriority w:val="99"/>
    <w:unhideWhenUsed/>
    <w:rsid w:val="00BB22FA"/>
    <w:rPr>
      <w:color w:val="0563C1" w:themeColor="hyperlink"/>
      <w:u w:val="single"/>
    </w:rPr>
  </w:style>
  <w:style w:type="character" w:customStyle="1" w:styleId="Heading1Char">
    <w:name w:val="Heading 1 Char"/>
    <w:basedOn w:val="DefaultParagraphFont"/>
    <w:link w:val="Heading1"/>
    <w:uiPriority w:val="9"/>
    <w:rsid w:val="00BB22FA"/>
    <w:rPr>
      <w:rFonts w:asciiTheme="majorHAnsi" w:eastAsiaTheme="majorEastAsia" w:hAnsiTheme="majorHAnsi" w:cstheme="majorBidi"/>
      <w:color w:val="2E74B5" w:themeColor="accent1" w:themeShade="BF"/>
      <w:sz w:val="32"/>
      <w:szCs w:val="32"/>
      <w:lang w:eastAsia="is-IS" w:bidi="is-IS"/>
    </w:rPr>
  </w:style>
  <w:style w:type="character" w:customStyle="1" w:styleId="Heading2Char">
    <w:name w:val="Heading 2 Char"/>
    <w:basedOn w:val="DefaultParagraphFont"/>
    <w:link w:val="Heading2"/>
    <w:uiPriority w:val="9"/>
    <w:semiHidden/>
    <w:rsid w:val="00BB22FA"/>
    <w:rPr>
      <w:rFonts w:asciiTheme="majorHAnsi" w:eastAsiaTheme="majorEastAsia" w:hAnsiTheme="majorHAnsi" w:cstheme="majorBidi"/>
      <w:color w:val="2E74B5" w:themeColor="accent1" w:themeShade="BF"/>
      <w:sz w:val="26"/>
      <w:szCs w:val="26"/>
      <w:lang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148c/2018095.html" TargetMode="External"/><Relationship Id="rId5" Type="http://schemas.openxmlformats.org/officeDocument/2006/relationships/hyperlink" Target="http://www.ferdamalastofa.is" TargetMode="External"/><Relationship Id="rId4" Type="http://schemas.openxmlformats.org/officeDocument/2006/relationships/hyperlink" Target="mailto:upplysingar@ferdamalastof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cp:lastModifiedBy>
  <cp:revision>1</cp:revision>
  <dcterms:created xsi:type="dcterms:W3CDTF">2018-11-23T14:02:00Z</dcterms:created>
  <dcterms:modified xsi:type="dcterms:W3CDTF">2018-11-23T14:03:00Z</dcterms:modified>
</cp:coreProperties>
</file>